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2476500</wp:posOffset>
                </wp:positionV>
                <wp:extent cx="647700" cy="133350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477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type="#_x0000_t1" style="position:absolute;z-index:251657728;o:allowoverlap:true;o:allowincell:true;mso-position-horizontal-relative:text;margin-left:25.10pt;mso-position-horizontal:absolute;mso-position-vertical-relative:text;margin-top:195.00pt;mso-position-vertical:absolute;width:51.00pt;height:10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rPr>
                          <w:rFonts w:ascii="Verdana" w:hAnsi="Verdana"/>
                          <w:sz w:val="1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2293620</wp:posOffset>
                </wp:positionV>
                <wp:extent cx="927100" cy="133350"/>
                <wp:effectExtent l="0" t="0" r="0" b="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27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type="#_x0000_t1" style="position:absolute;z-index:251656704;o:allowoverlap:true;o:allowincell:true;mso-position-horizontal-relative:text;margin-left:97.15pt;mso-position-horizontal:absolute;mso-position-vertical-relative:text;margin-top:180.60pt;mso-position-vertical:absolute;width:73.00pt;height:10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rPr>
                          <w:rFonts w:ascii="Verdana" w:hAnsi="Verdana"/>
                          <w:sz w:val="1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166370</wp:posOffset>
                </wp:positionH>
                <wp:positionV relativeFrom="paragraph">
                  <wp:posOffset>2293620</wp:posOffset>
                </wp:positionV>
                <wp:extent cx="800100" cy="133350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00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" o:spid="_x0000_s2" o:spt="1" type="#_x0000_t1" style="position:absolute;z-index:251655680;o:allowoverlap:true;o:allowincell:true;mso-position-horizontal-relative:text;margin-left:13.10pt;mso-position-horizontal:absolute;mso-position-vertical-relative:text;margin-top:180.60pt;mso-position-vertical:absolute;width:63.00pt;height:10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rPr>
                          <w:rFonts w:ascii="Verdana" w:hAnsi="Verdana"/>
                          <w:sz w:val="1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2476500</wp:posOffset>
                </wp:positionV>
                <wp:extent cx="828040" cy="133350"/>
                <wp:effectExtent l="0" t="0" r="0" b="0"/>
                <wp:wrapNone/>
                <wp:docPr id="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2804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  <w:r>
                              <w:rPr>
                                <w:rFonts w:ascii="Verdana" w:hAnsi="Verdana"/>
                                <w:sz w:val="16"/>
                                <w:lang w:val="en-US"/>
                              </w:rPr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type="#_x0000_t1" style="position:absolute;z-index:251658752;o:allowoverlap:true;o:allowincell:true;mso-position-horizontal-relative:text;margin-left:97.15pt;mso-position-horizontal:absolute;mso-position-vertical-relative:text;margin-top:195.00pt;mso-position-vertical:absolute;width:65.20pt;height:10.5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rPr>
                          <w:rFonts w:ascii="Verdana" w:hAnsi="Verdana"/>
                          <w:sz w:val="1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  <w:r>
                        <w:rPr>
                          <w:rFonts w:ascii="Verdana" w:hAnsi="Verdana"/>
                          <w:sz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№1 к Документации о закупке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Технические требования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hanging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на проведение аукциона в электронной форме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2"/>
        </w:numPr>
        <w:ind w:left="1190" w:hanging="510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 xml:space="preserve">Наименование: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Аукцион в электронной форме «ОКПД 2 64.19.21.000 Оказание услуг по предоставлению заемных средств для нужд АО "ДГК", г. Хабаровск».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2"/>
        </w:numPr>
        <w:ind w:left="1190" w:hanging="510"/>
        <w:jc w:val="both"/>
        <w:spacing w:before="12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 xml:space="preserve">Заказчик:</w:t>
      </w:r>
      <w:r>
        <w:rPr>
          <w:rFonts w:ascii="Times New Roman" w:hAnsi="Times New Roman" w:cs="Times New Roman"/>
          <w:b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u w:val="single"/>
        </w:rPr>
      </w:r>
    </w:p>
    <w:p>
      <w:pPr>
        <w:numPr>
          <w:ilvl w:val="1"/>
          <w:numId w:val="12"/>
        </w:numPr>
        <w:ind w:hanging="11"/>
        <w:jc w:val="both"/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заказчика: Акционерное общество «Дальневосточная генерирующая компания»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Адрес заказчика: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680000, г. Хабаровск, ул. Фрунзе, 49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2"/>
        </w:numPr>
        <w:ind w:left="1190" w:hanging="510"/>
        <w:jc w:val="both"/>
        <w:spacing w:before="24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 xml:space="preserve">Требования к оказываемой услуге: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Вид кредитного продукта: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jc w:val="both"/>
        <w:spacing w:before="120"/>
        <w:shd w:val="clear" w:color="ffffff" w:themeColor="background1" w:fill="ffffff" w:themeFill="background1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(90008015-ФИ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 ФД-2026-ДГК) –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возобновляемая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рамочная кредитная линия (без обязательств по выдаче денежных средств) с лимитом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yellow"/>
        </w:rPr>
        <w:t xml:space="preserve">5 000 000 000,00 рублей,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yellow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кредиты (транши) в рамках кредитной линии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предоставляются на срок не более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  <w:t xml:space="preserve">5 (Пяти) лет.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20"/>
        <w:jc w:val="both"/>
        <w:spacing w:before="120"/>
        <w:shd w:val="clear" w:color="ffffff" w:themeColor="background1" w:fill="ffffff" w:themeFill="background1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№2 (90008016-ФИН ФД-2026-ДГК) –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возобновляемая рамочная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кредитная линия (без обязательств по выдаче денежных средств) с лимитом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5 000 000 000,00 рублей,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кредиты (транши) в рамках кредитной линии предоставляются на срок не более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5 (Пяти) лет.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20"/>
        <w:jc w:val="both"/>
        <w:spacing w:before="120"/>
        <w:shd w:val="clear" w:color="ffffff" w:themeColor="background1" w:fill="ffffff" w:themeFill="background1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№3 (90008017-ФИН ФД-2026-ДГК) –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возобновляемая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рамочная кредитная линия (без обязательств по вы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даче денежных средств) с лимитом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5 000 000 000,00 рублей,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кредиты (транши) в рамках кредитной линии предоставляются на срок не более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5 (Пяти) лет.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20"/>
        <w:jc w:val="both"/>
        <w:spacing w:before="120"/>
        <w:shd w:val="clear" w:color="ffffff" w:themeColor="background1" w:fill="ffffff" w:themeFill="background1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№4 (90008018-ФИН ФД-2026-ДГК) –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возобновляемая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рамочная кредитная линия (без обязательств по выдаче денежных средств) с лимитом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5 000 000 000,00 рублей,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кредиты (транши) в рамках кредитной линии предоставляются на срок не более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5 (Пяти) лет.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Цел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привлечения кредитных средств: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финансирование текущей операционной деятельности,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в том числе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  <w:t xml:space="preserve">перечисление денежных средств на расчетные счета в других кредитных организациях, с подтверждением дальнейшего целевого расходования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инвестиционной деятельности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рефинансирования действующих кредитов и займов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numPr>
          <w:ilvl w:val="1"/>
          <w:numId w:val="12"/>
        </w:numPr>
        <w:ind w:left="0"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  <w:highlight w:val="cyan"/>
        </w:rPr>
        <w:t xml:space="preserve">Предоставление заемных средств Кредитором Заемщику осуществляется Кредитами (траншами) в размере и на условиях, согласованных Заемщиком и Кредитором, оформляемых отдельными Подтверждениями (заявлениями) Сторон в пределах лимита Кредитной линии.</w:t>
      </w: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</w:r>
    </w:p>
    <w:p>
      <w:pPr>
        <w:numPr>
          <w:ilvl w:val="1"/>
          <w:numId w:val="12"/>
        </w:numPr>
        <w:ind w:left="709" w:firstLine="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Период заимствования (срок действия договора):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(90008015-ФИН ФД-2026-ДГК)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- 2 555 дн.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709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Лот №2 (90008016-ФИН ФД-2026-ДГК)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- 2 555 дн.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709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Лот №3 (90008017-ФИН ФД-2026-ДГК)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- 2 555 дн.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09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Лот №4 (90008018-ФИН ФД-2026-ДГК)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- 2 555 дн.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1"/>
          <w:numId w:val="12"/>
        </w:numPr>
        <w:ind w:left="709" w:firstLine="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Период выборки кредита (период действия лимита):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680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(90008015-ФИН ФД-2026-ДГК)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– в течение всего срока действия договора.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680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№2 (90008016-ФИН ФД-2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026-ДГК)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– в течение всего срока действия договора.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</w:p>
    <w:p>
      <w:pPr>
        <w:ind w:firstLine="680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№3 (90008017-ФИН ФД-2026-ДГК)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– в течение всего срока действия договора.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680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№4 (90008018-ФИН ФД-2026-ДГК)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– в течение всего срока действия договора.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680"/>
        <w:jc w:val="both"/>
        <w:spacing w:before="120" w:after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Заключение кредитного договора: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не ранее чем через 10 (десять) календарных дней и не позднее чем через 20 (двадцать) календарных дней с даты официального размещения итогового протокола, составленного по результатам закупки.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Начальная (максимальная) цена (в рублях) -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суммарная величина за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трат на привлечение и обслуживание заемных средств: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Лот №1 (90008015 -ФИН ФД-2026-ДГК) - 6 650 000 000,00 рублей (без учета НДС), в т.ч.: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цена ключевой ставки Банка России - 5 250 000 000,00 рублей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начальный максимальный размер маржи – 1 400 000 000,00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Лот №2 (90008016 -ФИН ФД-2026-ДГК) - 6 650 000 000,00 рублей (без учета НДС), в т.ч.: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цена ключевой ставки Банка России - 5 250 000 000,00 рублей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начальный максимальный размер маржи – 1 140 000 000,00 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Лот №3 (90008017 -ФИН ФД-2026-ДГК)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- 6 650 000 000,00 рублей (без учета НДС), в т.ч.: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цена ключевой ставки Банка России - 5 250 000 000,00 рублей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начальный максимальный размер маржи – 1 140 000 000,00 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Лот №4 (90008018 -ФИН ФД-2026-ДГК) - 6 650 000 000,00 рублей (без учета НДС),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т.ч.: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цена ключевой ставки Банка России - 5 250 000 000,00 рублей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before="120" w:after="120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начальный максимальный размер маржи – 1 140 000 000,00 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24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Комиссии: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 включение любых комиссий в кредитный договор не предусмотрено.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Максимальная процентная ставка за пользование кредитными средствами: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№1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90008015-ФИН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 – не более ключевой ставки Банка России + маржа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4%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В целях единого формирования процентной ставки ключевая ставка Банка России определяется исхо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дя из действующей ключевой ставки –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15%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 определенной Банком России 20.03.2026 г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№2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90008016-ФИН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 – не более ключевой ставки Банка России + маржа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4%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В целях единого формирования процентной ставки ключевая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ставка Банка Рос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сии определяется исходя из действующей ключевой ставки –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15%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 определенной Банком России 20.03.2026 г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№3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90008017-ФИН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 – не более ключевой ставки Банка России + маржа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4%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В целях единого формирования процентной ставки ключ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евая ставка Банка России определяется исходя из действующей ключевой ставки –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15%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 определенной Банком России 20.03.2026 г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Лот №4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90008018-ФИН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) – не более ключевой ставки Банка России + маржа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4%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В целях единого формирования процентной ставки ключевая ставка Банка России определяется исходя из действующей ключевой ставки –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15% годовых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 определенной Банком России 20.03.2026 г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Шаг аукциона (величина понижения начальной максимальной цены) -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0,5%-5,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0% от максимальной цены договора (Приложение №1), что составляет: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6"/>
        <w:ind w:left="0" w:firstLine="72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Лот №1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90008015-ФИН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)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val="ru-RU"/>
        </w:rPr>
        <w:t xml:space="preserve">–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u w:val="none"/>
          <w:vertAlign w:val="baseline"/>
        </w:rPr>
        <w:t xml:space="preserve">33 250 000,00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 –                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u w:val="none"/>
          <w:vertAlign w:val="baseline"/>
        </w:rPr>
        <w:t xml:space="preserve">332 500 000,00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НДС);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pStyle w:val="946"/>
        <w:ind w:left="0" w:firstLine="72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Лот №2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90008016-ФИН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)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val="ru-RU"/>
        </w:rPr>
        <w:t xml:space="preserve">– 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u w:val="none"/>
        </w:rPr>
        <w:t xml:space="preserve">33 250 000,00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 –                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u w:val="none"/>
        </w:rPr>
        <w:t xml:space="preserve">332 500 000,00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НДС);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pStyle w:val="946"/>
        <w:ind w:left="0" w:firstLine="72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Лот №3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90008017-ФИН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) –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val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u w:val="none"/>
        </w:rPr>
        <w:t xml:space="preserve">33 250 000,00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 –                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u w:val="none"/>
        </w:rPr>
        <w:t xml:space="preserve">332 500 000,00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НДС);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pStyle w:val="946"/>
        <w:ind w:left="0" w:firstLine="720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Лот №4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90008018-ФИН ФД-2026-ДГК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) –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u w:val="none"/>
        </w:rPr>
        <w:t xml:space="preserve">33 250 000,00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 –                 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4"/>
          <w:szCs w:val="24"/>
          <w:u w:val="none"/>
        </w:rPr>
        <w:t xml:space="preserve">332 500 000,00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val="ru-RU"/>
        </w:rPr>
        <w:t xml:space="preserve">руб. (без учета НДС).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53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Порядок формирования цены договора (расчет прилагается) –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При расчете цены договора предполагается осуществление полной выборки кредита в первый день открытия кредитной линии и полное единовременное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погашение в последний день действия договора.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При расчете цены договора (процентов) количество дней в месяце принимается равным календарному, а в году принимается равным 365 дням: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jc w:val="both"/>
        <w:spacing w:before="24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Лот №1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90008015-ФИН ФД-2026-ДГК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):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left="709"/>
        <w:jc w:val="both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Style w:val="799"/>
        <w:tblW w:w="9923" w:type="dxa"/>
        <w:tblInd w:w="14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8506"/>
      </w:tblGrid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Цена договора =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5 000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000 000 руб. * (Ключевая ставка Банка России+маржа,%) *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2 555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365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left="709"/>
        <w:jc w:val="both"/>
        <w:spacing w:before="24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Лот №2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90008016-ФИН ФД-2026-ДГК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):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left="709"/>
        <w:jc w:val="both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Style w:val="799"/>
        <w:tblW w:w="9923" w:type="dxa"/>
        <w:tblInd w:w="14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8506"/>
      </w:tblGrid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Цена договора =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000 000 000 руб. * (Ключевая ставка Банка России+маржа,%) * 2 555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365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left="709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left="709"/>
        <w:jc w:val="both"/>
        <w:spacing w:before="120"/>
        <w:tabs>
          <w:tab w:val="left" w:pos="1276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Лот №3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90008017-ФИН ФД-2026-ДГК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  <w:t xml:space="preserve">):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ind w:left="709"/>
        <w:jc w:val="both"/>
        <w:tabs>
          <w:tab w:val="left" w:pos="1276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tbl>
      <w:tblPr>
        <w:tblStyle w:val="799"/>
        <w:tblW w:w="9923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8506"/>
      </w:tblGrid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Цена договора =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5 000 000 000 руб. * (Ключевая ставка Банка России+маржа,%) * 2 555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365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left="709"/>
        <w:jc w:val="both"/>
        <w:spacing w:before="24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Лот №4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90008018-ФИН ФД-2026-ДГК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):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left="709"/>
        <w:jc w:val="both"/>
        <w:spacing w:before="240"/>
        <w:tabs>
          <w:tab w:val="left" w:pos="1276" w:leader="none"/>
        </w:tabs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Style w:val="799"/>
        <w:tblW w:w="9943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415"/>
        <w:gridCol w:w="8529"/>
      </w:tblGrid>
      <w:tr>
        <w:tblPrEx/>
        <w:trPr>
          <w:trHeight w:val="2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ена договора =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29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000 000 000 руб. * (Ключевая ставка Банка России+маржа,%) * 2 555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98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5" w:type="dxa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2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365 дн.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numPr>
          <w:ilvl w:val="1"/>
          <w:numId w:val="12"/>
        </w:numPr>
        <w:ind w:left="0" w:firstLine="680"/>
        <w:jc w:val="both"/>
        <w:spacing w:before="36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Валюта, используемая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для формирования (максимальной) цены, а также, любых расчетов между Сторонами по заключаемому по результату торгов договору –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российский рубль. Не допускается включения в состав Предложения (и/или проект договора) условий, в соответств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ии с которыми могут возникнуть обязательства, выраженные в иностранной валюте (либо возникнуть обязательства, величина которых приравнивается к иностранной валюте).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680"/>
        <w:jc w:val="both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Включение Участником закупки в состав Предложения (и/или проект договора) условий, в соотве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тствии с которыми могут возникнуть обязательства, выраженные в иностранной валюте (либо возникнуть обязательства, величина которых приравнивается к иностранной валюте), может быть расценено закупочной комиссией как несоответствие Предложения на участие в 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акупке требованиям, установленным закупочной документацией.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Порядок уплаты процентов: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ежемесячно в последний рабочий день каждого календарного месяца в сумме начисленных процентов по последний календарный день месяца (включительно), и в дату полного погаше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ния кредита или в дату полного погашения кредита, осуществленного ранее установленного срока погашения, в сумме начисленных на указанные даты процентов (включительно).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Вид процентной ставки: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плавающая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Изменение процентной ставки: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 изменении Банком Росс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ии ключевой ставки, процентная ставка по договору изменяется на величину изменения ключевой ставки Банка России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с даты изменения ключевой ставки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Банком России.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white"/>
        </w:rPr>
        <w:t xml:space="preserve">Использование лимита кредитной линии: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без дополнительных пеней,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штрафных санкций, комиссий, процентов за неполное использование лимита.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46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:highlight w:val="white"/>
          <w:lang w:val="ru-RU"/>
        </w:rPr>
        <w:t xml:space="preserve">Прочие платежи: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val="ru-RU"/>
        </w:rPr>
        <w:t xml:space="preserve"> за несвоевременный возврат основного долга и процентов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огашение кредита: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 окончанию срока действия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Досрочное погашение кредита: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досрочное погашение предусмотрено на протяжении всего срока действия кредитного договора без моратория, оплаты комиссий и штрафных санкций, связанных с досрочным погашением. Письменное Уведомление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о досрочном погашении направляется Кредитору за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yellow"/>
        </w:rPr>
        <w:t xml:space="preserve">2 (Два) Раб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yellow"/>
        </w:rPr>
        <w:t xml:space="preserve">очих дня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до перечисления суммы Основного долга.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709"/>
        <w:jc w:val="both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Обеспечение: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поручительство ПАО «РусГидро». Договор поручительства заключается в течение 75 календарных дней с даты заключения кредитного договора.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период действия отсрочки заключение договора поручительства не может являться отлагательным условием выдачи кредитных средств Банком.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Право на акцепт списания денежных средств –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не предоставляется (включая расчетный счет, открытый в Банке-кредиторе).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white"/>
        </w:rPr>
        <w:t xml:space="preserve">Усл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white"/>
        </w:rPr>
        <w:t xml:space="preserve">овия по поддержанию кредитовых оборотов на счете: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  <w:t xml:space="preserve">не предоставляется.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68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Допустимые ковенанты: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/>
        <w:jc w:val="both"/>
        <w:spacing w:before="120" w:line="276" w:lineRule="auto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Возможно установление только следующих ковенант: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2"/>
          <w:numId w:val="16"/>
        </w:numPr>
        <w:ind w:left="1418"/>
        <w:jc w:val="both"/>
        <w:spacing w:before="120" w:line="276" w:lineRule="auto"/>
        <w:tabs>
          <w:tab w:val="left" w:pos="1418" w:leader="none"/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Финансовые ковенанты Группы РусГидро: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Показатель Чистый Долг / EBITDA -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не более предельного значения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Style w:val="799"/>
        <w:tblW w:w="0" w:type="auto"/>
        <w:tblLayout w:type="fixed"/>
        <w:tblLook w:val="04A0" w:firstRow="1" w:lastRow="0" w:firstColumn="1" w:lastColumn="0" w:noHBand="0" w:noVBand="1"/>
      </w:tblPr>
      <w:tblGrid>
        <w:gridCol w:w="2903"/>
        <w:gridCol w:w="2903"/>
      </w:tblGrid>
      <w:tr>
        <w:tblPrEx/>
        <w:trPr/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Отчетная дата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Предельное значение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31.12.2025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31.12.2026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31.12.2027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29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6,0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31.12.2028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5,0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31.12.2029 и далее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29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4,0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Показатель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Чистый Долг / EBITDA рассчитывается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один раз в год на основании данных годовой консолидированной финансовой отчетности Группы РусГидро на 31 декабря каждого года по МСФО.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Показатель Чистый Долг = Долгосрочные кредиты и займы + Краткосрочные кредиты и займы – Денежные средства и их эквивалент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ы.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Показатель EBITDA (МСФО) = Операционная прибыль за последние 4 (Четыре) квартала + Амортизационные отчисления за последние 4 (Четыре) квартала + Корректировка на неденежные статьи операционных расходов и доходов.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При этом доходы включаются в корректиров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ку со знаком «-», а расходы – со знаком «+».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Группа РусГидро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– ПАО «РусГидро» и дочерние общества, при включении которых в консолидированную финансовую отчетность РусГидро по МСФО используется метод прямой консолидации.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6"/>
        </w:numPr>
        <w:ind w:left="1418"/>
        <w:jc w:val="both"/>
        <w:spacing w:before="120" w:line="276" w:lineRule="auto"/>
        <w:tabs>
          <w:tab w:val="left" w:pos="1418" w:leader="none"/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highlight w:val="white"/>
          <w:u w:val="single"/>
        </w:rPr>
        <w:t xml:space="preserve">Допустимые нефинансовые ковенанты: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6"/>
        <w:contextualSpacing w:val="0"/>
        <w:jc w:val="both"/>
        <w:spacing w:before="120"/>
        <w:tabs>
          <w:tab w:val="left" w:pos="0" w:leader="none"/>
          <w:tab w:val="center" w:pos="5103" w:leader="none"/>
          <w:tab w:val="right" w:pos="1020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ru-RU"/>
        </w:rPr>
        <w:t xml:space="preserve">Согласно разделам 9 и 10 типового Соглашения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6"/>
        </w:numPr>
        <w:ind w:left="0" w:firstLine="698"/>
        <w:jc w:val="both"/>
        <w:spacing w:before="120" w:line="276" w:lineRule="auto"/>
        <w:tabs>
          <w:tab w:val="left" w:pos="1701" w:leader="none"/>
          <w:tab w:val="left" w:pos="1843" w:leader="none"/>
          <w:tab w:val="left" w:pos="198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Данный перечень исчерпывает возможные финансовые и нефинансовые ковенанты.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Включение дополнительных ковенантов в проект кредитного договора не допускается. Заявка, содержащая дополнительные ковенанты, не предусм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отренные проектом кредитного договора, будет отклонена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Участник может исключить любые ковенанты из проекта кредитного договора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2"/>
        </w:numPr>
        <w:ind w:left="1190" w:hanging="510"/>
        <w:jc w:val="both"/>
        <w:spacing w:before="240" w:line="276" w:lineRule="auto"/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Требования к качеству:</w:t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</w:p>
    <w:p>
      <w:pPr>
        <w:ind w:firstLine="709"/>
        <w:jc w:val="both"/>
        <w:spacing w:before="24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Заказчиком применяются требования к безопасности, качеству услуг, к результатам услуг, отличные от установленных в соответствии с законодательством Российской Федерации о техническом регулировании, законодательством Российской Федерации о стандартизации 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связи с тем, что по данным видам услуг отсутствуют требования,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12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Для качественного исполнения услуг по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кредитованию необходимо руководствоваться нормативными документами Российской Федерации (с учетом действующих изменений и дополнений), в том числе: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- Федеральный закон от 02.12.1990 N 395-1 "О банках и банковской деятельности".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2"/>
        </w:numPr>
        <w:ind w:left="1190" w:hanging="510"/>
        <w:jc w:val="both"/>
        <w:spacing w:before="240" w:line="276" w:lineRule="auto"/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u w:val="single"/>
        </w:rPr>
        <w:t xml:space="preserve">Требования к Участникам: </w:t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r>
    </w:p>
    <w:p>
      <w:pPr>
        <w:ind w:firstLine="709"/>
        <w:jc w:val="both"/>
        <w:spacing w:before="120" w:line="276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 Участник должен являться кредитной организацией, созданной на основе любой формы собственности как хозяйственное общество (акционерное общество) и совершать банковские операции на основании действующей лицензии на осуществление банковских операций, выда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нной Центральным банком Российской Федерации.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360" w:firstLine="349"/>
        <w:jc w:val="both"/>
        <w:spacing w:before="12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  Наличие одобрения предоставления кредитных средств банком.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360" w:firstLine="349"/>
        <w:jc w:val="both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18"/>
        </w:numPr>
        <w:ind w:left="0" w:firstLine="709"/>
        <w:jc w:val="both"/>
        <w:spacing w:before="120" w:line="276" w:lineRule="auto"/>
        <w:tabs>
          <w:tab w:val="left" w:pos="127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Перечень документов, подтверждающих соответствие Участника закупки установленным дополнительным требованиям: 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44"/>
        <w:numPr>
          <w:ilvl w:val="0"/>
          <w:numId w:val="10"/>
        </w:numPr>
        <w:ind w:left="0" w:firstLine="709"/>
        <w:spacing w:before="120" w:line="276" w:lineRule="auto"/>
        <w:tabs>
          <w:tab w:val="left" w:pos="-142" w:leader="none"/>
          <w:tab w:val="left" w:pos="34" w:leader="none"/>
          <w:tab w:val="left" w:pos="142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Заверенная Участником копия лицензии на осуществление банковских операций, выдаваемая Банком России, которая должна содержать указание на один из видов лицензий, определенных п.п.8.8 - 8.10, 14.1 Инструкции ЦБ РФ от 02.04.2010 №135-И, перечень банковских 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пераций, право на осуществление которых предоставлено кредитной организации, дату выдачи и номер лицензии.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4"/>
        <w:numPr>
          <w:ilvl w:val="0"/>
          <w:numId w:val="10"/>
        </w:numPr>
        <w:ind w:left="0" w:firstLine="709"/>
        <w:spacing w:before="120" w:line="276" w:lineRule="auto"/>
        <w:tabs>
          <w:tab w:val="left" w:pos="34" w:leader="none"/>
          <w:tab w:val="left" w:pos="317" w:leader="none"/>
          <w:tab w:val="left" w:pos="543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Заверенный Участником документ, подтверждающий решение компетентного органа об одобрении предоставления кредитных средств банком.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even" r:id="rId9"/>
      <w:footnotePr/>
      <w:endnotePr/>
      <w:type w:val="nextPage"/>
      <w:pgSz w:w="11906" w:h="16838" w:orient="portrait"/>
      <w:pgMar w:top="709" w:right="851" w:bottom="851" w:left="1134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9"/>
      <w:rPr>
        <w:rStyle w:val="941"/>
      </w:rPr>
      <w:framePr w:wrap="around" w:vAnchor="text" w:hAnchor="margin" w:xAlign="center" w:y="1"/>
    </w:pPr>
    <w:r>
      <w:rPr>
        <w:rStyle w:val="941"/>
      </w:rPr>
      <w:fldChar w:fldCharType="begin"/>
    </w:r>
    <w:r>
      <w:rPr>
        <w:rStyle w:val="941"/>
      </w:rPr>
      <w:instrText xml:space="preserve">PAGE  </w:instrText>
    </w:r>
    <w:r>
      <w:rPr>
        <w:rStyle w:val="941"/>
      </w:rPr>
      <w:fldChar w:fldCharType="end"/>
    </w:r>
    <w:r>
      <w:rPr>
        <w:rStyle w:val="941"/>
      </w:rPr>
    </w:r>
    <w:r>
      <w:rPr>
        <w:rStyle w:val="941"/>
      </w:rPr>
    </w:r>
  </w:p>
  <w:p>
    <w:pPr>
      <w:pStyle w:val="93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394" w:hanging="360"/>
        <w:tabs>
          <w:tab w:val="num" w:pos="39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114" w:hanging="360"/>
        <w:tabs>
          <w:tab w:val="num" w:pos="111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34" w:hanging="360"/>
        <w:tabs>
          <w:tab w:val="num" w:pos="183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54" w:hanging="360"/>
        <w:tabs>
          <w:tab w:val="num" w:pos="255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74" w:hanging="360"/>
        <w:tabs>
          <w:tab w:val="num" w:pos="327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94" w:hanging="360"/>
        <w:tabs>
          <w:tab w:val="num" w:pos="399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14" w:hanging="360"/>
        <w:tabs>
          <w:tab w:val="num" w:pos="471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34" w:hanging="360"/>
        <w:tabs>
          <w:tab w:val="num" w:pos="543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54" w:hanging="360"/>
        <w:tabs>
          <w:tab w:val="num" w:pos="6154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isLgl/>
      <w:suff w:val="tab"/>
      <w:lvlText w:val="5.1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-"/>
      <w:lvlJc w:val="left"/>
      <w:pPr>
        <w:ind w:left="1755" w:hanging="675"/>
        <w:tabs>
          <w:tab w:val="num" w:pos="1755" w:leader="none"/>
        </w:tabs>
      </w:pPr>
      <w:rPr>
        <w:rFonts w:hint="default" w:ascii="Times New Roman" w:hAnsi="Times New Roman" w:eastAsia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94" w:hanging="360"/>
        <w:tabs>
          <w:tab w:val="num" w:pos="39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114" w:hanging="360"/>
        <w:tabs>
          <w:tab w:val="num" w:pos="111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34" w:hanging="360"/>
        <w:tabs>
          <w:tab w:val="num" w:pos="183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54" w:hanging="360"/>
        <w:tabs>
          <w:tab w:val="num" w:pos="255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74" w:hanging="360"/>
        <w:tabs>
          <w:tab w:val="num" w:pos="327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94" w:hanging="360"/>
        <w:tabs>
          <w:tab w:val="num" w:pos="399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14" w:hanging="360"/>
        <w:tabs>
          <w:tab w:val="num" w:pos="471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34" w:hanging="360"/>
        <w:tabs>
          <w:tab w:val="num" w:pos="543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54" w:hanging="360"/>
        <w:tabs>
          <w:tab w:val="num" w:pos="6154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8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44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b/>
      </w:rPr>
    </w:lvl>
    <w:lvl w:ilvl="1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-36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5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63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0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8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  <w:tabs>
          <w:tab w:val="num" w:pos="928" w:leader="none"/>
        </w:tabs>
      </w:pPr>
      <w:rPr>
        <w:rFonts w:hint="default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0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suff w:val="tab"/>
      <w:lvlText w:val="%1.21.%3."/>
      <w:lvlJc w:val="left"/>
      <w:pPr>
        <w:ind w:left="244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(%1)"/>
      <w:legacy w:legacy="1" w:legacyIndent="567" w:legacySpace="170"/>
      <w:lvlJc w:val="left"/>
      <w:pPr>
        <w:ind w:left="605" w:hanging="567"/>
      </w:pPr>
      <w:rPr>
        <w:rFonts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4" w:hanging="360"/>
        <w:tabs>
          <w:tab w:val="num" w:pos="1194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914" w:hanging="180"/>
        <w:tabs>
          <w:tab w:val="num" w:pos="1914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634" w:hanging="360"/>
        <w:tabs>
          <w:tab w:val="num" w:pos="2634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354" w:hanging="360"/>
        <w:tabs>
          <w:tab w:val="num" w:pos="3354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074" w:hanging="180"/>
        <w:tabs>
          <w:tab w:val="num" w:pos="4074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794" w:hanging="360"/>
        <w:tabs>
          <w:tab w:val="num" w:pos="4794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514" w:hanging="360"/>
        <w:tabs>
          <w:tab w:val="num" w:pos="5514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234" w:hanging="180"/>
        <w:tabs>
          <w:tab w:val="num" w:pos="6234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9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960" w:hanging="2160"/>
      </w:pPr>
      <w:rPr>
        <w:rFonts w:hint="default"/>
      </w:r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4"/>
  </w:num>
  <w:num w:numId="3">
    <w:abstractNumId w:val="20"/>
  </w:num>
  <w:num w:numId="4">
    <w:abstractNumId w:val="8"/>
  </w:num>
  <w:num w:numId="5">
    <w:abstractNumId w:val="1"/>
  </w:num>
  <w:num w:numId="6">
    <w:abstractNumId w:val="14"/>
  </w:num>
  <w:num w:numId="7">
    <w:abstractNumId w:val="25"/>
  </w:num>
  <w:num w:numId="8">
    <w:abstractNumId w:val="3"/>
  </w:num>
  <w:num w:numId="9">
    <w:abstractNumId w:val="12"/>
  </w:num>
  <w:num w:numId="10">
    <w:abstractNumId w:val="7"/>
  </w:num>
  <w:num w:numId="11">
    <w:abstractNumId w:val="16"/>
  </w:num>
  <w:num w:numId="12">
    <w:abstractNumId w:val="0"/>
  </w:num>
  <w:num w:numId="13">
    <w:abstractNumId w:val="13"/>
  </w:num>
  <w:num w:numId="14">
    <w:abstractNumId w:val="19"/>
  </w:num>
  <w:num w:numId="15">
    <w:abstractNumId w:val="17"/>
  </w:num>
  <w:num w:numId="16">
    <w:abstractNumId w:val="23"/>
  </w:num>
  <w:num w:numId="17">
    <w:abstractNumId w:val="0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suff w:val="tab"/>
        <w:lvlText w:val="%1.%2."/>
        <w:lvlJc w:val="left"/>
        <w:pPr>
          <w:ind w:left="720" w:hanging="720"/>
        </w:pPr>
        <w:rPr>
          <w:rFonts w:hint="default"/>
          <w:b/>
          <w:i w:val="0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tab"/>
        <w:lvlText w:val="%1.21."/>
        <w:lvlJc w:val="left"/>
        <w:pPr>
          <w:ind w:left="2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suff w:val="tab"/>
        <w:lvlText w:val="%1.%2.%3.%4."/>
        <w:lvlJc w:val="left"/>
        <w:pPr>
          <w:ind w:left="34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suff w:val="tab"/>
        <w:lvlText w:val="%1.%2.%3.%4.%5."/>
        <w:lvlJc w:val="left"/>
        <w:pPr>
          <w:ind w:left="41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suff w:val="tab"/>
        <w:lvlText w:val="%1.%2.%3.%4.%5.%6."/>
        <w:lvlJc w:val="left"/>
        <w:pPr>
          <w:ind w:left="52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suff w:val="tab"/>
        <w:lvlText w:val="%1.%2.%3.%4.%5.%6.%7."/>
        <w:lvlJc w:val="left"/>
        <w:pPr>
          <w:ind w:left="6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suff w:val="tab"/>
        <w:lvlText w:val="%1.%2.%3.%4.%5.%6.%7.%8."/>
        <w:lvlJc w:val="left"/>
        <w:pPr>
          <w:ind w:left="69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suff w:val="tab"/>
        <w:lvlText w:val="%1.%2.%3.%4.%5.%6.%7.%8.%9."/>
        <w:lvlJc w:val="left"/>
        <w:pPr>
          <w:ind w:left="7960" w:hanging="2160"/>
        </w:pPr>
        <w:rPr>
          <w:rFonts w:hint="default"/>
        </w:rPr>
      </w:lvl>
    </w:lvlOverride>
  </w:num>
  <w:num w:numId="18">
    <w:abstractNumId w:val="2"/>
  </w:num>
  <w:num w:numId="19">
    <w:abstractNumId w:val="24"/>
  </w:num>
  <w:num w:numId="20">
    <w:abstractNumId w:val="10"/>
  </w:num>
  <w:num w:numId="21">
    <w:abstractNumId w:val="26"/>
  </w:num>
  <w:num w:numId="22">
    <w:abstractNumId w:val="22"/>
  </w:num>
  <w:num w:numId="23">
    <w:abstractNumId w:val="15"/>
  </w:num>
  <w:num w:numId="24">
    <w:abstractNumId w:val="6"/>
  </w:num>
  <w:num w:numId="25">
    <w:abstractNumId w:val="11"/>
  </w:num>
  <w:num w:numId="26">
    <w:abstractNumId w:val="18"/>
  </w:num>
  <w:num w:numId="27">
    <w:abstractNumId w:val="5"/>
  </w:num>
  <w:num w:numId="28">
    <w:abstractNumId w:val="21"/>
  </w:num>
  <w:num w:numId="29">
    <w:abstractNumId w:val="9"/>
  </w:num>
  <w:num w:numId="30">
    <w:abstractNumId w:val="28"/>
  </w:num>
  <w:num w:numId="31">
    <w:abstractNumId w:val="29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szCs w:val="22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1" w:default="1">
    <w:name w:val="Normal"/>
    <w:link w:val="814"/>
    <w:rPr>
      <w:rFonts w:ascii="Times New Roman" w:hAnsi="Times New Roman" w:eastAsia="Times New Roman"/>
      <w:sz w:val="24"/>
      <w:szCs w:val="24"/>
      <w:lang w:val="ru-RU"/>
    </w:rPr>
  </w:style>
  <w:style w:type="paragraph" w:styleId="742">
    <w:name w:val="Heading 1"/>
    <w:basedOn w:val="741"/>
    <w:next w:val="741"/>
    <w:link w:val="7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3">
    <w:name w:val="Heading 2"/>
    <w:basedOn w:val="741"/>
    <w:next w:val="741"/>
    <w:link w:val="7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4">
    <w:name w:val="Heading 3"/>
    <w:basedOn w:val="741"/>
    <w:next w:val="741"/>
    <w:link w:val="7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5">
    <w:name w:val="Heading 4"/>
    <w:basedOn w:val="741"/>
    <w:next w:val="741"/>
    <w:link w:val="7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741"/>
    <w:next w:val="741"/>
    <w:link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7">
    <w:name w:val="Heading 6"/>
    <w:basedOn w:val="741"/>
    <w:next w:val="741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741"/>
    <w:next w:val="741"/>
    <w:link w:val="7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9">
    <w:name w:val="Heading 8"/>
    <w:basedOn w:val="741"/>
    <w:next w:val="741"/>
    <w:link w:val="7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741"/>
    <w:next w:val="741"/>
    <w:link w:val="7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 w:default="1">
    <w:name w:val="Default Paragraph Font"/>
    <w:uiPriority w:val="1"/>
    <w:semiHidden/>
    <w:unhideWhenUsed/>
  </w:style>
  <w:style w:type="table" w:styleId="7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3" w:default="1">
    <w:name w:val="No List"/>
    <w:uiPriority w:val="99"/>
    <w:semiHidden/>
    <w:unhideWhenUsed/>
  </w:style>
  <w:style w:type="character" w:styleId="754" w:customStyle="1">
    <w:name w:val="Endnote Text Char"/>
    <w:uiPriority w:val="99"/>
    <w:rPr>
      <w:sz w:val="20"/>
    </w:rPr>
  </w:style>
  <w:style w:type="character" w:styleId="755" w:customStyle="1">
    <w:name w:val="Heading 1 Char"/>
    <w:basedOn w:val="751"/>
    <w:uiPriority w:val="9"/>
    <w:rPr>
      <w:rFonts w:ascii="Arial" w:hAnsi="Arial" w:eastAsia="Arial" w:cs="Arial"/>
      <w:sz w:val="40"/>
      <w:szCs w:val="40"/>
    </w:rPr>
  </w:style>
  <w:style w:type="character" w:styleId="756" w:customStyle="1">
    <w:name w:val="Heading 2 Char"/>
    <w:basedOn w:val="751"/>
    <w:uiPriority w:val="9"/>
    <w:rPr>
      <w:rFonts w:ascii="Arial" w:hAnsi="Arial" w:eastAsia="Arial" w:cs="Arial"/>
      <w:sz w:val="34"/>
    </w:rPr>
  </w:style>
  <w:style w:type="character" w:styleId="757" w:customStyle="1">
    <w:name w:val="Heading 3 Char"/>
    <w:basedOn w:val="751"/>
    <w:uiPriority w:val="9"/>
    <w:rPr>
      <w:rFonts w:ascii="Arial" w:hAnsi="Arial" w:eastAsia="Arial" w:cs="Arial"/>
      <w:sz w:val="30"/>
      <w:szCs w:val="30"/>
    </w:rPr>
  </w:style>
  <w:style w:type="character" w:styleId="758" w:customStyle="1">
    <w:name w:val="Heading 4 Char"/>
    <w:basedOn w:val="751"/>
    <w:uiPriority w:val="9"/>
    <w:rPr>
      <w:rFonts w:ascii="Arial" w:hAnsi="Arial" w:eastAsia="Arial" w:cs="Arial"/>
      <w:b/>
      <w:bCs/>
      <w:sz w:val="26"/>
      <w:szCs w:val="26"/>
    </w:rPr>
  </w:style>
  <w:style w:type="character" w:styleId="759" w:customStyle="1">
    <w:name w:val="Heading 5 Char"/>
    <w:basedOn w:val="751"/>
    <w:uiPriority w:val="9"/>
    <w:rPr>
      <w:rFonts w:ascii="Arial" w:hAnsi="Arial" w:eastAsia="Arial" w:cs="Arial"/>
      <w:b/>
      <w:bCs/>
      <w:sz w:val="24"/>
      <w:szCs w:val="24"/>
    </w:rPr>
  </w:style>
  <w:style w:type="character" w:styleId="760" w:customStyle="1">
    <w:name w:val="Heading 6 Char"/>
    <w:basedOn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1" w:customStyle="1">
    <w:name w:val="Heading 7 Char"/>
    <w:basedOn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2" w:customStyle="1">
    <w:name w:val="Heading 8 Char"/>
    <w:basedOn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3" w:customStyle="1">
    <w:name w:val="Heading 9 Char"/>
    <w:basedOn w:val="751"/>
    <w:uiPriority w:val="9"/>
    <w:rPr>
      <w:rFonts w:ascii="Arial" w:hAnsi="Arial" w:eastAsia="Arial" w:cs="Arial"/>
      <w:i/>
      <w:iCs/>
      <w:sz w:val="21"/>
      <w:szCs w:val="21"/>
    </w:rPr>
  </w:style>
  <w:style w:type="character" w:styleId="764" w:customStyle="1">
    <w:name w:val="Title Char"/>
    <w:basedOn w:val="751"/>
    <w:uiPriority w:val="10"/>
    <w:rPr>
      <w:sz w:val="48"/>
      <w:szCs w:val="48"/>
    </w:rPr>
  </w:style>
  <w:style w:type="character" w:styleId="765" w:customStyle="1">
    <w:name w:val="Subtitle Char"/>
    <w:basedOn w:val="751"/>
    <w:uiPriority w:val="11"/>
    <w:rPr>
      <w:sz w:val="24"/>
      <w:szCs w:val="24"/>
    </w:rPr>
  </w:style>
  <w:style w:type="character" w:styleId="766" w:customStyle="1">
    <w:name w:val="Quote Char"/>
    <w:uiPriority w:val="29"/>
    <w:rPr>
      <w:i/>
    </w:rPr>
  </w:style>
  <w:style w:type="character" w:styleId="767" w:customStyle="1">
    <w:name w:val="Intense Quote Char"/>
    <w:uiPriority w:val="30"/>
    <w:rPr>
      <w:i/>
    </w:rPr>
  </w:style>
  <w:style w:type="character" w:styleId="768" w:customStyle="1">
    <w:name w:val="Caption Char"/>
    <w:uiPriority w:val="99"/>
  </w:style>
  <w:style w:type="table" w:styleId="769" w:customStyle="1">
    <w:name w:val="Grid Table 5 Dark- Accent 1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4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character" w:styleId="771" w:customStyle="1">
    <w:name w:val="Footnote Text Char"/>
    <w:uiPriority w:val="99"/>
    <w:rPr>
      <w:sz w:val="18"/>
    </w:rPr>
  </w:style>
  <w:style w:type="paragraph" w:styleId="772">
    <w:name w:val="endnote text"/>
    <w:basedOn w:val="741"/>
    <w:link w:val="773"/>
    <w:uiPriority w:val="99"/>
    <w:semiHidden/>
    <w:unhideWhenUsed/>
    <w:rPr>
      <w:sz w:val="20"/>
    </w:rPr>
  </w:style>
  <w:style w:type="character" w:styleId="773" w:customStyle="1">
    <w:name w:val="Текст концевой сноски Знак"/>
    <w:link w:val="772"/>
    <w:uiPriority w:val="99"/>
    <w:rPr>
      <w:sz w:val="20"/>
    </w:rPr>
  </w:style>
  <w:style w:type="character" w:styleId="774">
    <w:name w:val="endnote reference"/>
    <w:basedOn w:val="751"/>
    <w:uiPriority w:val="99"/>
    <w:semiHidden/>
    <w:unhideWhenUsed/>
    <w:rPr>
      <w:vertAlign w:val="superscript"/>
    </w:rPr>
  </w:style>
  <w:style w:type="paragraph" w:styleId="775">
    <w:name w:val="table of figures"/>
    <w:basedOn w:val="741"/>
    <w:next w:val="741"/>
    <w:uiPriority w:val="99"/>
    <w:unhideWhenUsed/>
  </w:style>
  <w:style w:type="character" w:styleId="776" w:customStyle="1">
    <w:name w:val="Заголовок 1 Знак"/>
    <w:basedOn w:val="751"/>
    <w:link w:val="742"/>
    <w:uiPriority w:val="9"/>
    <w:rPr>
      <w:rFonts w:ascii="Arial" w:hAnsi="Arial" w:eastAsia="Arial" w:cs="Arial"/>
      <w:sz w:val="40"/>
      <w:szCs w:val="40"/>
    </w:rPr>
  </w:style>
  <w:style w:type="character" w:styleId="777" w:customStyle="1">
    <w:name w:val="Заголовок 2 Знак"/>
    <w:basedOn w:val="751"/>
    <w:link w:val="743"/>
    <w:uiPriority w:val="9"/>
    <w:rPr>
      <w:rFonts w:ascii="Arial" w:hAnsi="Arial" w:eastAsia="Arial" w:cs="Arial"/>
      <w:sz w:val="34"/>
    </w:rPr>
  </w:style>
  <w:style w:type="character" w:styleId="778" w:customStyle="1">
    <w:name w:val="Заголовок 3 Знак"/>
    <w:basedOn w:val="751"/>
    <w:link w:val="744"/>
    <w:uiPriority w:val="9"/>
    <w:rPr>
      <w:rFonts w:ascii="Arial" w:hAnsi="Arial" w:eastAsia="Arial" w:cs="Arial"/>
      <w:sz w:val="30"/>
      <w:szCs w:val="30"/>
    </w:rPr>
  </w:style>
  <w:style w:type="character" w:styleId="779" w:customStyle="1">
    <w:name w:val="Заголовок 4 Знак"/>
    <w:basedOn w:val="751"/>
    <w:link w:val="745"/>
    <w:uiPriority w:val="9"/>
    <w:rPr>
      <w:rFonts w:ascii="Arial" w:hAnsi="Arial" w:eastAsia="Arial" w:cs="Arial"/>
      <w:b/>
      <w:bCs/>
      <w:sz w:val="26"/>
      <w:szCs w:val="26"/>
    </w:rPr>
  </w:style>
  <w:style w:type="character" w:styleId="780" w:customStyle="1">
    <w:name w:val="Заголовок 5 Знак"/>
    <w:basedOn w:val="751"/>
    <w:link w:val="746"/>
    <w:uiPriority w:val="9"/>
    <w:rPr>
      <w:rFonts w:ascii="Arial" w:hAnsi="Arial" w:eastAsia="Arial" w:cs="Arial"/>
      <w:b/>
      <w:bCs/>
      <w:sz w:val="24"/>
      <w:szCs w:val="24"/>
    </w:rPr>
  </w:style>
  <w:style w:type="character" w:styleId="781" w:customStyle="1">
    <w:name w:val="Заголовок 6 Знак"/>
    <w:basedOn w:val="751"/>
    <w:link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82" w:customStyle="1">
    <w:name w:val="Заголовок 7 Знак"/>
    <w:basedOn w:val="751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3" w:customStyle="1">
    <w:name w:val="Заголовок 8 Знак"/>
    <w:basedOn w:val="751"/>
    <w:link w:val="749"/>
    <w:uiPriority w:val="9"/>
    <w:rPr>
      <w:rFonts w:ascii="Arial" w:hAnsi="Arial" w:eastAsia="Arial" w:cs="Arial"/>
      <w:i/>
      <w:iCs/>
      <w:sz w:val="22"/>
      <w:szCs w:val="22"/>
    </w:rPr>
  </w:style>
  <w:style w:type="character" w:styleId="784" w:customStyle="1">
    <w:name w:val="Заголовок 9 Знак"/>
    <w:basedOn w:val="751"/>
    <w:link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85">
    <w:name w:val="No Spacing"/>
    <w:uiPriority w:val="1"/>
    <w:qFormat/>
  </w:style>
  <w:style w:type="paragraph" w:styleId="786">
    <w:name w:val="Title"/>
    <w:basedOn w:val="741"/>
    <w:next w:val="741"/>
    <w:link w:val="7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7" w:customStyle="1">
    <w:name w:val="Заголовок Знак"/>
    <w:basedOn w:val="751"/>
    <w:link w:val="786"/>
    <w:uiPriority w:val="10"/>
    <w:rPr>
      <w:sz w:val="48"/>
      <w:szCs w:val="48"/>
    </w:rPr>
  </w:style>
  <w:style w:type="paragraph" w:styleId="788">
    <w:name w:val="Subtitle"/>
    <w:basedOn w:val="741"/>
    <w:next w:val="741"/>
    <w:link w:val="789"/>
    <w:uiPriority w:val="11"/>
    <w:qFormat/>
    <w:pPr>
      <w:spacing w:before="200" w:after="200"/>
    </w:pPr>
  </w:style>
  <w:style w:type="character" w:styleId="789" w:customStyle="1">
    <w:name w:val="Подзаголовок Знак"/>
    <w:basedOn w:val="751"/>
    <w:link w:val="788"/>
    <w:uiPriority w:val="11"/>
    <w:rPr>
      <w:sz w:val="24"/>
      <w:szCs w:val="24"/>
    </w:rPr>
  </w:style>
  <w:style w:type="paragraph" w:styleId="790">
    <w:name w:val="Quote"/>
    <w:basedOn w:val="741"/>
    <w:next w:val="741"/>
    <w:link w:val="791"/>
    <w:uiPriority w:val="29"/>
    <w:qFormat/>
    <w:pPr>
      <w:ind w:left="720" w:right="720"/>
    </w:pPr>
    <w:rPr>
      <w:i/>
    </w:rPr>
  </w:style>
  <w:style w:type="character" w:styleId="791" w:customStyle="1">
    <w:name w:val="Цитата 2 Знак"/>
    <w:link w:val="790"/>
    <w:uiPriority w:val="29"/>
    <w:rPr>
      <w:i/>
    </w:rPr>
  </w:style>
  <w:style w:type="paragraph" w:styleId="792">
    <w:name w:val="Intense Quote"/>
    <w:basedOn w:val="741"/>
    <w:next w:val="741"/>
    <w:link w:val="79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3" w:customStyle="1">
    <w:name w:val="Выделенная цитата Знак"/>
    <w:link w:val="792"/>
    <w:uiPriority w:val="30"/>
    <w:rPr>
      <w:i/>
    </w:rPr>
  </w:style>
  <w:style w:type="character" w:styleId="794" w:customStyle="1">
    <w:name w:val="Header Char"/>
    <w:basedOn w:val="751"/>
    <w:uiPriority w:val="99"/>
  </w:style>
  <w:style w:type="paragraph" w:styleId="795">
    <w:name w:val="Footer"/>
    <w:basedOn w:val="741"/>
    <w:link w:val="79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96" w:customStyle="1">
    <w:name w:val="Footer Char"/>
    <w:basedOn w:val="751"/>
    <w:uiPriority w:val="99"/>
  </w:style>
  <w:style w:type="paragraph" w:styleId="797">
    <w:name w:val="Caption"/>
    <w:basedOn w:val="741"/>
    <w:next w:val="741"/>
    <w:link w:val="7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8" w:customStyle="1">
    <w:name w:val="Нижний колонтитул Знак"/>
    <w:link w:val="795"/>
    <w:uiPriority w:val="99"/>
  </w:style>
  <w:style w:type="table" w:styleId="799">
    <w:name w:val="Table Grid"/>
    <w:basedOn w:val="75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00" w:customStyle="1">
    <w:name w:val="Table Grid Light"/>
    <w:basedOn w:val="75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1">
    <w:name w:val="Plain Table 1"/>
    <w:basedOn w:val="75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2"/>
    <w:basedOn w:val="75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3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4">
    <w:name w:val="Plain Table 4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Plain Table 5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6">
    <w:name w:val="Grid Table 1 Light"/>
    <w:basedOn w:val="75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1"/>
    <w:basedOn w:val="75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2"/>
    <w:basedOn w:val="75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3"/>
    <w:basedOn w:val="75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4"/>
    <w:basedOn w:val="75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5"/>
    <w:basedOn w:val="75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6"/>
    <w:basedOn w:val="75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2"/>
    <w:basedOn w:val="75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1"/>
    <w:basedOn w:val="75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5"/>
    <w:basedOn w:val="75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6"/>
    <w:basedOn w:val="75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basedOn w:val="75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1"/>
    <w:basedOn w:val="75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5"/>
    <w:basedOn w:val="75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6"/>
    <w:basedOn w:val="75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4"/>
    <w:basedOn w:val="75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8" w:customStyle="1">
    <w:name w:val="Grid Table 4 - Accent 1"/>
    <w:basedOn w:val="75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9" w:customStyle="1">
    <w:name w:val="Grid Table 4 - Accent 2"/>
    <w:basedOn w:val="75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Grid Table 4 - Accent 3"/>
    <w:basedOn w:val="75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1" w:customStyle="1">
    <w:name w:val="Grid Table 4 - Accent 4"/>
    <w:basedOn w:val="75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Grid Table 4 - Accent 5"/>
    <w:basedOn w:val="75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3" w:customStyle="1">
    <w:name w:val="Grid Table 4 - Accent 6"/>
    <w:basedOn w:val="75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4">
    <w:name w:val="Grid Table 5 Dark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835" w:customStyle="1">
    <w:name w:val="Основной текст 3 Знак"/>
    <w:basedOn w:val="752"/>
    <w:link w:val="9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ae5f1" w:themeFill="accent1" w:themeFillTint="34"/>
    </w:tblPr>
    <w:tblStylePr w:type="band1Horz">
      <w:tcPr>
        <w:shd w:val="clear" w:color="auto" w:fill="aec4e0" w:themeFill="accent1" w:themeFillTint="75"/>
      </w:tcPr>
    </w:tblStylePr>
    <w:tblStylePr w:type="band1Vert">
      <w:tcPr>
        <w:shd w:val="clear" w:color="auto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f81bd" w:themeFill="accent1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2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2dcdc" w:themeFill="accent2" w:themeFillTint="32"/>
    </w:tblPr>
    <w:tblStylePr w:type="band1Horz">
      <w:tcPr>
        <w:shd w:val="clear" w:color="auto" w:fill="e2aead" w:themeFill="accent2" w:themeFillTint="75"/>
      </w:tcPr>
    </w:tblStylePr>
    <w:tblStylePr w:type="band1Vert">
      <w:tcPr>
        <w:shd w:val="clear" w:color="auto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c0504d" w:themeFill="accent2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3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af1dc" w:themeFill="accent3" w:themeFillTint="34"/>
    </w:tblPr>
    <w:tblStylePr w:type="band1Horz">
      <w:tcPr>
        <w:shd w:val="clear" w:color="auto" w:fill="d0dfb2" w:themeFill="accent3" w:themeFillTint="75"/>
      </w:tcPr>
    </w:tblStylePr>
    <w:tblStylePr w:type="band1Vert">
      <w:tcPr>
        <w:shd w:val="clear" w:color="auto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9bbb59" w:themeFill="accent3"/>
        <w:tcBorders>
          <w:top w:val="single" w:color="FFFFFF" w:themeColor="light1" w:sz="4" w:space="0"/>
        </w:tcBorders>
      </w:tcPr>
    </w:tblStylePr>
  </w:style>
  <w:style w:type="table" w:styleId="838" w:customStyle="1">
    <w:name w:val="Основной текст с отступом Знак"/>
    <w:basedOn w:val="752"/>
    <w:link w:val="9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5dfec" w:themeFill="accent4" w:themeFillTint="34"/>
    </w:tblPr>
    <w:tblStylePr w:type="band1Horz">
      <w:tcPr>
        <w:shd w:val="clear" w:color="auto" w:fill="c4b7d4" w:themeFill="accent4" w:themeFillTint="75"/>
      </w:tcPr>
    </w:tblStylePr>
    <w:tblStylePr w:type="band1Vert">
      <w:tcPr>
        <w:shd w:val="clear" w:color="auto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8064a2" w:themeFill="accent4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5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aeef3" w:themeFill="accent5" w:themeFillTint="34"/>
    </w:tblPr>
    <w:tblStylePr w:type="band1Horz">
      <w:tcPr>
        <w:shd w:val="clear" w:color="auto" w:fill="acd8e4" w:themeFill="accent5" w:themeFillTint="75"/>
      </w:tcPr>
    </w:tblStylePr>
    <w:tblStylePr w:type="band1Vert">
      <w:tcPr>
        <w:shd w:val="clear" w:color="auto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6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de9d8" w:themeFill="accent6" w:themeFillTint="34"/>
    </w:tblPr>
    <w:tblStylePr w:type="band1Horz">
      <w:tcPr>
        <w:shd w:val="clear" w:color="auto" w:fill="fbceaa" w:themeFill="accent6" w:themeFillTint="75"/>
      </w:tcPr>
    </w:tblStylePr>
    <w:tblStylePr w:type="band1Vert">
      <w:tcPr>
        <w:shd w:val="clear" w:color="auto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FFFFF" w:themeColor="light1" w:sz="4" w:space="0"/>
        </w:tcBorders>
      </w:tcPr>
    </w:tblStylePr>
  </w:style>
  <w:style w:type="table" w:styleId="841">
    <w:name w:val="Grid Table 6 Colorful"/>
    <w:basedOn w:val="75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2" w:customStyle="1">
    <w:name w:val="Grid Table 6 Colorful - Accent 1"/>
    <w:basedOn w:val="75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3" w:customStyle="1">
    <w:name w:val="Grid Table 6 Colorful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4" w:customStyle="1">
    <w:name w:val="Grid Table 6 Colorful - Accent 3"/>
    <w:basedOn w:val="75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5" w:customStyle="1">
    <w:name w:val="Grid Table 6 Colorful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6" w:customStyle="1">
    <w:name w:val="Grid Table 6 Colorful - Accent 5"/>
    <w:basedOn w:val="75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 w:customStyle="1">
    <w:name w:val="Grid Table 6 Colorful - Accent 6"/>
    <w:basedOn w:val="75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8">
    <w:name w:val="Grid Table 7 Colorful"/>
    <w:basedOn w:val="75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D"/>
      </w:tcPr>
    </w:tblStylePr>
    <w:tblStylePr w:type="band1Vert"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1"/>
    <w:basedOn w:val="75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5"/>
    <w:basedOn w:val="75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6"/>
    <w:basedOn w:val="75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1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2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3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4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5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6"/>
    <w:basedOn w:val="752"/>
    <w:uiPriority w:val="99"/>
    <w:tblPr>
      <w:tblStyleRowBandSize w:val="1"/>
      <w:tblStyleColBandSize w:val="1"/>
    </w:tblPr>
    <w:tblStylePr w:type="band1Horz"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2"/>
    <w:basedOn w:val="75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1"/>
    <w:basedOn w:val="75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2"/>
    <w:basedOn w:val="75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3"/>
    <w:basedOn w:val="75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4"/>
    <w:basedOn w:val="75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5"/>
    <w:basedOn w:val="75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6"/>
    <w:basedOn w:val="75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9">
    <w:name w:val="List Table 3"/>
    <w:basedOn w:val="75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1"/>
    <w:basedOn w:val="75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"/>
    <w:basedOn w:val="75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1"/>
    <w:basedOn w:val="75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2"/>
    <w:basedOn w:val="75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3"/>
    <w:basedOn w:val="75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4"/>
    <w:basedOn w:val="75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5"/>
    <w:basedOn w:val="75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6"/>
    <w:basedOn w:val="75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5 Dark"/>
    <w:basedOn w:val="75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1"/>
    <w:basedOn w:val="75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auto" w:fill="4f81bd" w:themeFill="accent1"/>
    </w:tblPr>
    <w:tblStylePr w:type="band1Horz">
      <w:tcPr>
        <w:shd w:val="clear" w:color="auto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auto" w:fill="d99695" w:themeFill="accent2" w:themeFillTint="97"/>
    </w:tblPr>
    <w:tblStylePr w:type="band1Horz">
      <w:tcPr>
        <w:shd w:val="clear" w:color="auto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auto" w:fill="c3d69b" w:themeFill="accent3" w:themeFillTint="98"/>
    </w:tblPr>
    <w:tblStylePr w:type="band1Horz">
      <w:tcPr>
        <w:shd w:val="clear" w:color="auto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auto" w:fill="b2a1c6" w:themeFill="accent4" w:themeFillTint="9A"/>
    </w:tblPr>
    <w:tblStylePr w:type="band1Horz">
      <w:tcPr>
        <w:shd w:val="clear" w:color="auto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auto" w:fill="92ccdc" w:themeFill="accent5" w:themeFillTint="9A"/>
    </w:tblPr>
    <w:tblStylePr w:type="band1Horz">
      <w:tcPr>
        <w:shd w:val="clear" w:color="auto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auto" w:fill="fac090" w:themeFill="accent6" w:themeFillTint="98"/>
    </w:tblPr>
    <w:tblStylePr w:type="band1Horz">
      <w:tcPr>
        <w:shd w:val="clear" w:color="auto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>
    <w:name w:val="List Table 6 Colorful"/>
    <w:basedOn w:val="75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1" w:customStyle="1">
    <w:name w:val="List Table 6 Colorful - Accent 1"/>
    <w:basedOn w:val="75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2" w:customStyle="1">
    <w:name w:val="List Table 6 Colorful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3" w:customStyle="1">
    <w:name w:val="List Table 6 Colorful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4" w:customStyle="1">
    <w:name w:val="List Table 6 Colorful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5" w:customStyle="1">
    <w:name w:val="List Table 6 Colorful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6" w:customStyle="1">
    <w:name w:val="List Table 6 Colorful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7">
    <w:name w:val="List Table 7 Colorful"/>
    <w:basedOn w:val="75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1"/>
    <w:basedOn w:val="75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2"/>
    <w:basedOn w:val="75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3"/>
    <w:basedOn w:val="75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4"/>
    <w:basedOn w:val="75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5"/>
    <w:basedOn w:val="75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6"/>
    <w:basedOn w:val="75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ned - Accent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905" w:customStyle="1">
    <w:name w:val="Lined - Accent 1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906" w:customStyle="1">
    <w:name w:val="Lined - Accent 2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907" w:customStyle="1">
    <w:name w:val="Lined - Accent 3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908" w:customStyle="1">
    <w:name w:val="Lined - Accent 4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909" w:customStyle="1">
    <w:name w:val="Lined - Accent 5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910" w:customStyle="1">
    <w:name w:val="Lined - Accent 6"/>
    <w:basedOn w:val="752"/>
    <w:uiPriority w:val="99"/>
    <w:rPr>
      <w:color w:val="404040"/>
      <w:szCs w:val="2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911" w:customStyle="1">
    <w:name w:val="Bordered &amp; Lined - Accent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912" w:customStyle="1">
    <w:name w:val="Bordered &amp; Lined - Accent 1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913" w:customStyle="1">
    <w:name w:val="Bordered &amp; Lined - Accent 2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914" w:customStyle="1">
    <w:name w:val="Bordered &amp; Lined - Accent 3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915" w:customStyle="1">
    <w:name w:val="Bordered &amp; Lined - Accent 4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916" w:customStyle="1">
    <w:name w:val="Bordered &amp; Lined - Accent 5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917" w:customStyle="1">
    <w:name w:val="Bordered &amp; Lined - Accent 6"/>
    <w:basedOn w:val="752"/>
    <w:uiPriority w:val="99"/>
    <w:rPr>
      <w:color w:val="404040"/>
      <w:szCs w:val="2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918" w:customStyle="1">
    <w:name w:val="Bordered"/>
    <w:basedOn w:val="75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9" w:customStyle="1">
    <w:name w:val="Bordered - Accent 1"/>
    <w:basedOn w:val="75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0" w:customStyle="1">
    <w:name w:val="Bordered - Accent 2"/>
    <w:basedOn w:val="75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1" w:customStyle="1">
    <w:name w:val="Bordered - Accent 3"/>
    <w:basedOn w:val="75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2" w:customStyle="1">
    <w:name w:val="Bordered - Accent 4"/>
    <w:basedOn w:val="75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3" w:customStyle="1">
    <w:name w:val="Bordered - Accent 5"/>
    <w:basedOn w:val="75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4" w:customStyle="1">
    <w:name w:val="Bordered - Accent 6"/>
    <w:basedOn w:val="75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5">
    <w:name w:val="Hyperlink"/>
    <w:uiPriority w:val="99"/>
    <w:unhideWhenUsed/>
    <w:rPr>
      <w:color w:val="0000ff" w:themeColor="hyperlink"/>
      <w:u w:val="single"/>
    </w:rPr>
  </w:style>
  <w:style w:type="paragraph" w:styleId="926">
    <w:name w:val="footnote text"/>
    <w:basedOn w:val="741"/>
    <w:link w:val="927"/>
    <w:uiPriority w:val="99"/>
    <w:semiHidden/>
    <w:unhideWhenUsed/>
    <w:pPr>
      <w:spacing w:after="40"/>
    </w:pPr>
    <w:rPr>
      <w:sz w:val="18"/>
    </w:rPr>
  </w:style>
  <w:style w:type="character" w:styleId="927" w:customStyle="1">
    <w:name w:val="Текст сноски Знак"/>
    <w:link w:val="926"/>
    <w:uiPriority w:val="99"/>
    <w:rPr>
      <w:sz w:val="18"/>
    </w:rPr>
  </w:style>
  <w:style w:type="character" w:styleId="928">
    <w:name w:val="footnote reference"/>
    <w:basedOn w:val="751"/>
    <w:uiPriority w:val="99"/>
    <w:unhideWhenUsed/>
    <w:rPr>
      <w:vertAlign w:val="superscript"/>
    </w:rPr>
  </w:style>
  <w:style w:type="paragraph" w:styleId="929">
    <w:name w:val="toc 1"/>
    <w:basedOn w:val="741"/>
    <w:next w:val="741"/>
    <w:uiPriority w:val="39"/>
    <w:unhideWhenUsed/>
    <w:pPr>
      <w:spacing w:after="57"/>
    </w:pPr>
  </w:style>
  <w:style w:type="paragraph" w:styleId="930">
    <w:name w:val="toc 2"/>
    <w:basedOn w:val="741"/>
    <w:next w:val="741"/>
    <w:uiPriority w:val="39"/>
    <w:unhideWhenUsed/>
    <w:pPr>
      <w:ind w:left="283"/>
      <w:spacing w:after="57"/>
    </w:pPr>
  </w:style>
  <w:style w:type="paragraph" w:styleId="931">
    <w:name w:val="toc 3"/>
    <w:basedOn w:val="741"/>
    <w:next w:val="741"/>
    <w:uiPriority w:val="39"/>
    <w:unhideWhenUsed/>
    <w:pPr>
      <w:ind w:left="567"/>
      <w:spacing w:after="57"/>
    </w:pPr>
  </w:style>
  <w:style w:type="paragraph" w:styleId="932">
    <w:name w:val="toc 4"/>
    <w:basedOn w:val="741"/>
    <w:next w:val="741"/>
    <w:uiPriority w:val="39"/>
    <w:unhideWhenUsed/>
    <w:pPr>
      <w:ind w:left="850"/>
      <w:spacing w:after="57"/>
    </w:pPr>
  </w:style>
  <w:style w:type="paragraph" w:styleId="933">
    <w:name w:val="toc 5"/>
    <w:basedOn w:val="741"/>
    <w:next w:val="741"/>
    <w:uiPriority w:val="39"/>
    <w:unhideWhenUsed/>
    <w:pPr>
      <w:ind w:left="1134"/>
      <w:spacing w:after="57"/>
    </w:pPr>
  </w:style>
  <w:style w:type="paragraph" w:styleId="934">
    <w:name w:val="toc 6"/>
    <w:basedOn w:val="741"/>
    <w:next w:val="741"/>
    <w:uiPriority w:val="39"/>
    <w:unhideWhenUsed/>
    <w:pPr>
      <w:ind w:left="1417"/>
      <w:spacing w:after="57"/>
    </w:pPr>
  </w:style>
  <w:style w:type="paragraph" w:styleId="935">
    <w:name w:val="toc 7"/>
    <w:basedOn w:val="741"/>
    <w:next w:val="741"/>
    <w:uiPriority w:val="39"/>
    <w:unhideWhenUsed/>
    <w:pPr>
      <w:ind w:left="1701"/>
      <w:spacing w:after="57"/>
    </w:pPr>
  </w:style>
  <w:style w:type="paragraph" w:styleId="936">
    <w:name w:val="toc 8"/>
    <w:basedOn w:val="741"/>
    <w:next w:val="741"/>
    <w:uiPriority w:val="39"/>
    <w:unhideWhenUsed/>
    <w:pPr>
      <w:ind w:left="1984"/>
      <w:spacing w:after="57"/>
    </w:pPr>
  </w:style>
  <w:style w:type="paragraph" w:styleId="937">
    <w:name w:val="toc 9"/>
    <w:basedOn w:val="741"/>
    <w:next w:val="741"/>
    <w:uiPriority w:val="39"/>
    <w:unhideWhenUsed/>
    <w:pPr>
      <w:ind w:left="2268"/>
      <w:spacing w:after="57"/>
    </w:pPr>
  </w:style>
  <w:style w:type="paragraph" w:styleId="938">
    <w:name w:val="TOC Heading"/>
    <w:uiPriority w:val="39"/>
    <w:unhideWhenUsed/>
  </w:style>
  <w:style w:type="paragraph" w:styleId="939">
    <w:name w:val="Header"/>
    <w:basedOn w:val="741"/>
    <w:link w:val="940"/>
    <w:pPr>
      <w:tabs>
        <w:tab w:val="center" w:pos="4320" w:leader="none"/>
        <w:tab w:val="right" w:pos="8640" w:leader="none"/>
      </w:tabs>
    </w:pPr>
  </w:style>
  <w:style w:type="character" w:styleId="940" w:customStyle="1">
    <w:name w:val="Верхний колонтитул Знак"/>
    <w:link w:val="939"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941">
    <w:name w:val="page number"/>
    <w:basedOn w:val="751"/>
  </w:style>
  <w:style w:type="paragraph" w:styleId="942">
    <w:name w:val="Balloon Text"/>
    <w:basedOn w:val="741"/>
    <w:link w:val="943"/>
    <w:uiPriority w:val="99"/>
    <w:semiHidden/>
    <w:unhideWhenUsed/>
    <w:rPr>
      <w:rFonts w:ascii="Lucida Grande" w:hAnsi="Lucida Grande"/>
      <w:sz w:val="18"/>
      <w:szCs w:val="18"/>
    </w:rPr>
  </w:style>
  <w:style w:type="character" w:styleId="943" w:customStyle="1">
    <w:name w:val="Текст выноски Знак"/>
    <w:link w:val="942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paragraph" w:styleId="944" w:customStyle="1">
    <w:name w:val="Подподпункт"/>
    <w:basedOn w:val="741"/>
    <w:link w:val="945"/>
    <w:pPr>
      <w:numPr>
        <w:ilvl w:val="0"/>
        <w:numId w:val="9"/>
      </w:numPr>
      <w:jc w:val="both"/>
      <w:spacing w:line="360" w:lineRule="auto"/>
    </w:pPr>
    <w:rPr>
      <w:sz w:val="28"/>
    </w:rPr>
  </w:style>
  <w:style w:type="character" w:styleId="945" w:customStyle="1">
    <w:name w:val="Подподпункт Знак"/>
    <w:link w:val="944"/>
    <w:rPr>
      <w:rFonts w:ascii="Times New Roman" w:hAnsi="Times New Roman" w:eastAsia="Times New Roman"/>
      <w:sz w:val="28"/>
      <w:lang w:val="ru-RU"/>
    </w:rPr>
  </w:style>
  <w:style w:type="paragraph" w:styleId="946">
    <w:name w:val="List Paragraph"/>
    <w:basedOn w:val="741"/>
    <w:uiPriority w:val="34"/>
    <w:qFormat/>
    <w:pPr>
      <w:contextualSpacing/>
      <w:ind w:left="720"/>
    </w:pPr>
    <w:rPr>
      <w:lang w:val="en-US"/>
    </w:rPr>
  </w:style>
  <w:style w:type="paragraph" w:styleId="947">
    <w:name w:val="Body Text Indent"/>
    <w:link w:val="838"/>
    <w:pPr>
      <w:ind w:firstLine="540"/>
    </w:pPr>
    <w:rPr>
      <w:rFonts w:ascii="Times New Roman" w:hAnsi="Times New Roman" w:eastAsia="Times New Roman"/>
      <w:sz w:val="24"/>
      <w:szCs w:val="24"/>
      <w:lang w:val="ru-RU"/>
    </w:rPr>
  </w:style>
  <w:style w:type="paragraph" w:styleId="948">
    <w:name w:val="Body Text 3"/>
    <w:link w:val="835"/>
    <w:pPr>
      <w:spacing w:after="120"/>
    </w:pPr>
    <w:rPr>
      <w:rFonts w:ascii="Times New Roman" w:hAnsi="Times New Roman" w:eastAsia="Times New Roman"/>
      <w:sz w:val="16"/>
      <w:szCs w:val="16"/>
      <w:lang w:val="ru-RU"/>
    </w:rPr>
  </w:style>
  <w:style w:type="character" w:styleId="949">
    <w:name w:val="annotation reference"/>
    <w:basedOn w:val="751"/>
    <w:uiPriority w:val="99"/>
    <w:semiHidden/>
    <w:unhideWhenUsed/>
    <w:rPr>
      <w:sz w:val="16"/>
      <w:szCs w:val="16"/>
    </w:rPr>
  </w:style>
  <w:style w:type="paragraph" w:styleId="950">
    <w:name w:val="annotation text"/>
    <w:basedOn w:val="741"/>
    <w:link w:val="951"/>
    <w:uiPriority w:val="99"/>
    <w:semiHidden/>
    <w:unhideWhenUsed/>
    <w:rPr>
      <w:sz w:val="20"/>
      <w:szCs w:val="20"/>
    </w:rPr>
  </w:style>
  <w:style w:type="character" w:styleId="951" w:customStyle="1">
    <w:name w:val="Текст примечания Знак"/>
    <w:basedOn w:val="751"/>
    <w:link w:val="950"/>
    <w:uiPriority w:val="99"/>
    <w:semiHidden/>
    <w:rPr>
      <w:rFonts w:ascii="Times New Roman" w:hAnsi="Times New Roman" w:eastAsia="Times New Roman"/>
      <w:szCs w:val="20"/>
      <w:lang w:val="ru-RU"/>
    </w:rPr>
  </w:style>
  <w:style w:type="paragraph" w:styleId="952">
    <w:name w:val="annotation subject"/>
    <w:basedOn w:val="950"/>
    <w:next w:val="950"/>
    <w:link w:val="953"/>
    <w:uiPriority w:val="99"/>
    <w:semiHidden/>
    <w:unhideWhenUsed/>
    <w:rPr>
      <w:b/>
      <w:bCs/>
    </w:rPr>
  </w:style>
  <w:style w:type="character" w:styleId="953" w:customStyle="1">
    <w:name w:val="Тема примечания Знак"/>
    <w:basedOn w:val="951"/>
    <w:link w:val="952"/>
    <w:uiPriority w:val="99"/>
    <w:semiHidden/>
    <w:rPr>
      <w:rFonts w:ascii="Times New Roman" w:hAnsi="Times New Roman" w:eastAsia="Times New Roman"/>
      <w:b/>
      <w:bCs/>
      <w:szCs w:val="20"/>
      <w:lang w:val="ru-RU"/>
    </w:rPr>
  </w:style>
  <w:style w:type="paragraph" w:styleId="954">
    <w:name w:val="Revision"/>
    <w:hidden/>
    <w:uiPriority w:val="99"/>
    <w:semiHidden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/>
      <w:sz w:val="24"/>
      <w:szCs w:val="24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EA453-C997-420B-B016-B2ED5D4F3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evstratenko_av</cp:lastModifiedBy>
  <cp:revision>30</cp:revision>
  <dcterms:created xsi:type="dcterms:W3CDTF">2025-08-13T02:13:00Z</dcterms:created>
  <dcterms:modified xsi:type="dcterms:W3CDTF">2026-05-08T02:24:53Z</dcterms:modified>
</cp:coreProperties>
</file>